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仿宋" w:hAnsi="仿宋" w:eastAsia="仿宋"/>
        </w:rPr>
      </w:pPr>
      <w:r>
        <w:rPr>
          <w:rFonts w:hint="eastAsia" w:ascii="仿宋" w:hAnsi="仿宋" w:eastAsia="仿宋"/>
        </w:rPr>
        <w:t xml:space="preserve">  采购项目技术、服务、政府采购合同内容条款及其他商务要求</w:t>
      </w:r>
    </w:p>
    <w:p>
      <w:pPr>
        <w:pStyle w:val="2"/>
        <w:keepNext w:val="0"/>
        <w:keepLines w:val="0"/>
        <w:spacing w:before="0" w:beforeAutospacing="0" w:after="0" w:afterAutospacing="0" w:line="400" w:lineRule="exact"/>
        <w:ind w:firstLine="118" w:firstLineChars="49"/>
        <w:jc w:val="left"/>
        <w:rPr>
          <w:rFonts w:ascii="仿宋" w:hAnsi="仿宋" w:eastAsia="仿宋"/>
          <w:sz w:val="24"/>
          <w:szCs w:val="24"/>
        </w:rPr>
      </w:pPr>
    </w:p>
    <w:p>
      <w:pPr>
        <w:pStyle w:val="2"/>
        <w:keepNext w:val="0"/>
        <w:keepLines w:val="0"/>
        <w:spacing w:before="0" w:beforeAutospacing="0" w:after="0" w:afterAutospacing="0" w:line="400" w:lineRule="exact"/>
        <w:ind w:firstLine="118" w:firstLineChars="49"/>
        <w:jc w:val="left"/>
        <w:rPr>
          <w:rFonts w:ascii="仿宋" w:hAnsi="仿宋" w:eastAsia="仿宋"/>
          <w:sz w:val="24"/>
          <w:szCs w:val="24"/>
        </w:rPr>
      </w:pPr>
      <w:r>
        <w:rPr>
          <w:rFonts w:hint="eastAsia" w:ascii="仿宋" w:hAnsi="仿宋" w:eastAsia="仿宋"/>
          <w:sz w:val="24"/>
          <w:szCs w:val="24"/>
        </w:rPr>
        <w:t>前提：</w:t>
      </w:r>
      <w:r>
        <w:rPr>
          <w:rFonts w:ascii="仿宋" w:hAnsi="仿宋" w:eastAsia="仿宋"/>
          <w:sz w:val="24"/>
          <w:szCs w:val="24"/>
        </w:rPr>
        <w:t>本章采购需求中</w:t>
      </w:r>
      <w:r>
        <w:rPr>
          <w:rFonts w:hint="eastAsia" w:ascii="仿宋" w:hAnsi="仿宋" w:eastAsia="仿宋"/>
          <w:sz w:val="24"/>
          <w:szCs w:val="24"/>
        </w:rPr>
        <w:t>带“▲”项为实质性要求，不满足将视为无效响应。</w:t>
      </w:r>
    </w:p>
    <w:p>
      <w:pPr>
        <w:pStyle w:val="2"/>
        <w:spacing w:beforeAutospacing="0" w:afterAutospacing="0" w:line="400" w:lineRule="exact"/>
        <w:ind w:firstLine="236" w:firstLineChars="98"/>
        <w:rPr>
          <w:rFonts w:ascii="仿宋" w:hAnsi="仿宋" w:eastAsia="仿宋"/>
          <w:b w:val="0"/>
          <w:sz w:val="24"/>
          <w:szCs w:val="24"/>
        </w:rPr>
      </w:pPr>
      <w:r>
        <w:rPr>
          <w:rFonts w:hint="eastAsia" w:ascii="仿宋" w:hAnsi="仿宋" w:eastAsia="仿宋"/>
          <w:sz w:val="24"/>
          <w:szCs w:val="24"/>
        </w:rPr>
        <w:t xml:space="preserve">1. </w:t>
      </w:r>
      <w:r>
        <w:rPr>
          <w:rFonts w:hint="eastAsia" w:ascii="仿宋" w:hAnsi="仿宋" w:eastAsia="仿宋"/>
          <w:b w:val="0"/>
          <w:sz w:val="24"/>
          <w:szCs w:val="24"/>
        </w:rPr>
        <w:t>项目概述</w:t>
      </w:r>
    </w:p>
    <w:p>
      <w:pPr>
        <w:pStyle w:val="3"/>
        <w:spacing w:beforeAutospacing="0" w:afterAutospacing="0" w:line="400" w:lineRule="exact"/>
        <w:ind w:firstLine="480"/>
        <w:rPr>
          <w:rFonts w:ascii="仿宋" w:hAnsi="仿宋" w:eastAsia="仿宋"/>
          <w:bCs/>
          <w:sz w:val="24"/>
        </w:rPr>
      </w:pPr>
      <w:r>
        <w:rPr>
          <w:rFonts w:hint="eastAsia" w:ascii="仿宋" w:hAnsi="仿宋" w:eastAsia="仿宋"/>
          <w:sz w:val="24"/>
        </w:rPr>
        <w:t>参照《中华人民共和国政府采购法》及相关规定，我院拟通过竞争性</w:t>
      </w:r>
      <w:r>
        <w:rPr>
          <w:rFonts w:hint="eastAsia" w:ascii="仿宋" w:hAnsi="仿宋" w:eastAsia="仿宋"/>
          <w:sz w:val="24"/>
          <w:lang w:eastAsia="zh-CN"/>
        </w:rPr>
        <w:t>谈判</w:t>
      </w:r>
      <w:r>
        <w:rPr>
          <w:rFonts w:hint="eastAsia" w:ascii="仿宋" w:hAnsi="仿宋" w:eastAsia="仿宋"/>
          <w:sz w:val="24"/>
        </w:rPr>
        <w:t>的方式择优选择具有相关资质认证的供货商，完成</w:t>
      </w:r>
      <w:r>
        <w:rPr>
          <w:rFonts w:hint="eastAsia" w:ascii="仿宋" w:hAnsi="仿宋" w:eastAsia="仿宋"/>
          <w:sz w:val="24"/>
          <w:lang w:eastAsia="zh-CN"/>
        </w:rPr>
        <w:t>威远县</w:t>
      </w:r>
      <w:r>
        <w:rPr>
          <w:rFonts w:hint="eastAsia" w:ascii="仿宋" w:hAnsi="仿宋" w:eastAsia="仿宋"/>
          <w:sz w:val="24"/>
        </w:rPr>
        <w:t>中医医院污水在线监测设备</w:t>
      </w:r>
      <w:r>
        <w:rPr>
          <w:rFonts w:hint="eastAsia" w:ascii="仿宋" w:hAnsi="仿宋" w:eastAsia="仿宋"/>
          <w:sz w:val="24"/>
          <w:lang w:eastAsia="zh-CN"/>
        </w:rPr>
        <w:t>维护、保养、</w:t>
      </w:r>
      <w:r>
        <w:rPr>
          <w:rFonts w:hint="eastAsia" w:ascii="仿宋" w:hAnsi="仿宋" w:eastAsia="仿宋"/>
          <w:sz w:val="24"/>
        </w:rPr>
        <w:t>试剂</w:t>
      </w:r>
      <w:r>
        <w:rPr>
          <w:rFonts w:hint="eastAsia" w:ascii="仿宋" w:hAnsi="仿宋" w:eastAsia="仿宋"/>
          <w:sz w:val="24"/>
          <w:lang w:eastAsia="zh-CN"/>
        </w:rPr>
        <w:t>添加</w:t>
      </w:r>
      <w:r>
        <w:rPr>
          <w:rFonts w:hint="eastAsia" w:ascii="仿宋" w:hAnsi="仿宋" w:eastAsia="仿宋"/>
          <w:sz w:val="24"/>
        </w:rPr>
        <w:t>和</w:t>
      </w:r>
      <w:r>
        <w:rPr>
          <w:rFonts w:hint="eastAsia" w:ascii="仿宋" w:hAnsi="仿宋" w:eastAsia="仿宋"/>
          <w:sz w:val="24"/>
          <w:lang w:eastAsia="zh-CN"/>
        </w:rPr>
        <w:t>其他</w:t>
      </w:r>
      <w:r>
        <w:rPr>
          <w:rFonts w:hint="eastAsia" w:ascii="仿宋" w:hAnsi="仿宋" w:eastAsia="仿宋"/>
          <w:sz w:val="24"/>
        </w:rPr>
        <w:t>服务工作。</w:t>
      </w:r>
    </w:p>
    <w:p>
      <w:pPr>
        <w:pStyle w:val="2"/>
        <w:spacing w:beforeAutospacing="0" w:afterAutospacing="0" w:line="400" w:lineRule="exact"/>
        <w:ind w:firstLine="236" w:firstLineChars="98"/>
        <w:rPr>
          <w:rFonts w:ascii="仿宋" w:hAnsi="仿宋" w:eastAsia="仿宋"/>
          <w:b w:val="0"/>
          <w:sz w:val="24"/>
          <w:szCs w:val="24"/>
        </w:rPr>
      </w:pPr>
      <w:r>
        <w:rPr>
          <w:rFonts w:hint="eastAsia" w:ascii="仿宋" w:hAnsi="仿宋" w:eastAsia="仿宋"/>
          <w:sz w:val="24"/>
          <w:szCs w:val="24"/>
        </w:rPr>
        <w:t>2.</w:t>
      </w:r>
      <w:r>
        <w:rPr>
          <w:rFonts w:hint="eastAsia" w:ascii="仿宋" w:hAnsi="仿宋" w:eastAsia="仿宋"/>
          <w:b w:val="0"/>
          <w:sz w:val="24"/>
          <w:szCs w:val="24"/>
        </w:rPr>
        <w:t>项目清单</w:t>
      </w:r>
      <w:bookmarkStart w:id="2" w:name="_GoBack"/>
      <w:bookmarkEnd w:id="2"/>
    </w:p>
    <w:tbl>
      <w:tblPr>
        <w:tblStyle w:val="6"/>
        <w:tblW w:w="7060"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52"/>
        <w:gridCol w:w="2409"/>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4" w:type="dxa"/>
            <w:vAlign w:val="center"/>
          </w:tcPr>
          <w:p>
            <w:pPr>
              <w:widowControl/>
              <w:spacing w:beforeAutospacing="0" w:afterAutospacing="0" w:line="360" w:lineRule="atLeast"/>
              <w:jc w:val="center"/>
              <w:outlineLvl w:val="1"/>
              <w:rPr>
                <w:rFonts w:ascii="仿宋" w:hAnsi="仿宋" w:eastAsia="仿宋"/>
                <w:sz w:val="24"/>
              </w:rPr>
            </w:pPr>
            <w:r>
              <w:rPr>
                <w:rFonts w:hint="eastAsia" w:ascii="仿宋" w:hAnsi="仿宋" w:eastAsia="仿宋"/>
                <w:sz w:val="24"/>
              </w:rPr>
              <w:t>序号</w:t>
            </w:r>
          </w:p>
        </w:tc>
        <w:tc>
          <w:tcPr>
            <w:tcW w:w="1852" w:type="dxa"/>
          </w:tcPr>
          <w:p>
            <w:pPr>
              <w:widowControl/>
              <w:spacing w:beforeAutospacing="0" w:afterAutospacing="0" w:line="360" w:lineRule="atLeast"/>
              <w:jc w:val="center"/>
              <w:outlineLvl w:val="1"/>
              <w:rPr>
                <w:rFonts w:ascii="仿宋" w:hAnsi="仿宋" w:eastAsia="仿宋"/>
                <w:sz w:val="24"/>
              </w:rPr>
            </w:pPr>
            <w:r>
              <w:rPr>
                <w:rFonts w:hint="eastAsia" w:ascii="仿宋" w:hAnsi="仿宋" w:eastAsia="仿宋"/>
                <w:sz w:val="24"/>
              </w:rPr>
              <w:t>行业</w:t>
            </w:r>
          </w:p>
        </w:tc>
        <w:tc>
          <w:tcPr>
            <w:tcW w:w="2409" w:type="dxa"/>
            <w:vAlign w:val="center"/>
          </w:tcPr>
          <w:p>
            <w:pPr>
              <w:widowControl/>
              <w:spacing w:beforeAutospacing="0" w:afterAutospacing="0" w:line="360" w:lineRule="atLeast"/>
              <w:jc w:val="center"/>
              <w:outlineLvl w:val="1"/>
              <w:rPr>
                <w:rFonts w:ascii="仿宋" w:hAnsi="仿宋" w:eastAsia="仿宋"/>
                <w:sz w:val="24"/>
              </w:rPr>
            </w:pPr>
            <w:r>
              <w:rPr>
                <w:rFonts w:hint="eastAsia" w:ascii="仿宋" w:hAnsi="仿宋" w:eastAsia="仿宋"/>
                <w:sz w:val="24"/>
              </w:rPr>
              <w:t>标的名称</w:t>
            </w:r>
          </w:p>
        </w:tc>
        <w:tc>
          <w:tcPr>
            <w:tcW w:w="993" w:type="dxa"/>
            <w:vAlign w:val="center"/>
          </w:tcPr>
          <w:p>
            <w:pPr>
              <w:widowControl/>
              <w:spacing w:beforeAutospacing="0" w:afterAutospacing="0" w:line="360" w:lineRule="atLeast"/>
              <w:jc w:val="center"/>
              <w:outlineLvl w:val="1"/>
              <w:rPr>
                <w:rFonts w:ascii="仿宋" w:hAnsi="仿宋" w:eastAsia="仿宋"/>
                <w:sz w:val="24"/>
              </w:rPr>
            </w:pPr>
            <w:r>
              <w:rPr>
                <w:rFonts w:hint="eastAsia" w:ascii="仿宋" w:hAnsi="仿宋" w:eastAsia="仿宋"/>
                <w:sz w:val="24"/>
              </w:rPr>
              <w:t>数量</w:t>
            </w:r>
          </w:p>
        </w:tc>
        <w:tc>
          <w:tcPr>
            <w:tcW w:w="992" w:type="dxa"/>
          </w:tcPr>
          <w:p>
            <w:pPr>
              <w:widowControl/>
              <w:spacing w:beforeAutospacing="0" w:afterAutospacing="0" w:line="360" w:lineRule="atLeast"/>
              <w:jc w:val="center"/>
              <w:outlineLvl w:val="1"/>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4" w:type="dxa"/>
            <w:vAlign w:val="center"/>
          </w:tcPr>
          <w:p>
            <w:pPr>
              <w:widowControl/>
              <w:spacing w:beforeAutospacing="0" w:afterAutospacing="0" w:line="360" w:lineRule="atLeast"/>
              <w:jc w:val="center"/>
              <w:outlineLvl w:val="1"/>
              <w:rPr>
                <w:rFonts w:ascii="仿宋" w:hAnsi="仿宋" w:eastAsia="仿宋"/>
                <w:sz w:val="24"/>
              </w:rPr>
            </w:pPr>
            <w:r>
              <w:rPr>
                <w:rFonts w:hint="eastAsia" w:ascii="仿宋" w:hAnsi="仿宋" w:eastAsia="仿宋"/>
                <w:sz w:val="24"/>
              </w:rPr>
              <w:t>1</w:t>
            </w:r>
          </w:p>
        </w:tc>
        <w:tc>
          <w:tcPr>
            <w:tcW w:w="1852" w:type="dxa"/>
          </w:tcPr>
          <w:p>
            <w:pPr>
              <w:widowControl/>
              <w:spacing w:beforeAutospacing="0" w:afterAutospacing="0" w:line="360" w:lineRule="atLeast"/>
              <w:jc w:val="left"/>
              <w:outlineLvl w:val="1"/>
              <w:rPr>
                <w:rFonts w:ascii="仿宋" w:hAnsi="仿宋" w:eastAsia="仿宋"/>
                <w:sz w:val="24"/>
              </w:rPr>
            </w:pPr>
            <w:r>
              <w:rPr>
                <w:rFonts w:hint="eastAsia" w:ascii="仿宋" w:hAnsi="仿宋" w:eastAsia="仿宋"/>
                <w:sz w:val="24"/>
              </w:rPr>
              <w:t>水利、环境和公共设施管理业</w:t>
            </w:r>
          </w:p>
        </w:tc>
        <w:tc>
          <w:tcPr>
            <w:tcW w:w="2409" w:type="dxa"/>
            <w:vAlign w:val="center"/>
          </w:tcPr>
          <w:p>
            <w:pPr>
              <w:widowControl/>
              <w:spacing w:beforeAutospacing="0" w:afterAutospacing="0" w:line="360" w:lineRule="atLeast"/>
              <w:jc w:val="left"/>
              <w:outlineLvl w:val="1"/>
              <w:rPr>
                <w:rFonts w:ascii="仿宋" w:hAnsi="仿宋" w:eastAsia="仿宋"/>
                <w:sz w:val="24"/>
              </w:rPr>
            </w:pPr>
            <w:r>
              <w:rPr>
                <w:rFonts w:hint="eastAsia" w:ascii="仿宋" w:hAnsi="仿宋" w:eastAsia="仿宋"/>
                <w:sz w:val="24"/>
              </w:rPr>
              <w:t>污水在线监测设备运营服务</w:t>
            </w:r>
          </w:p>
        </w:tc>
        <w:tc>
          <w:tcPr>
            <w:tcW w:w="993" w:type="dxa"/>
            <w:vAlign w:val="center"/>
          </w:tcPr>
          <w:p>
            <w:pPr>
              <w:widowControl/>
              <w:spacing w:beforeAutospacing="0" w:afterAutospacing="0" w:line="360" w:lineRule="atLeast"/>
              <w:jc w:val="center"/>
              <w:outlineLvl w:val="1"/>
              <w:rPr>
                <w:rFonts w:ascii="仿宋" w:hAnsi="仿宋" w:eastAsia="仿宋"/>
                <w:sz w:val="24"/>
              </w:rPr>
            </w:pPr>
            <w:r>
              <w:rPr>
                <w:rFonts w:hint="eastAsia" w:ascii="仿宋" w:hAnsi="仿宋" w:eastAsia="仿宋"/>
                <w:sz w:val="24"/>
                <w:lang w:eastAsia="zh-CN"/>
              </w:rPr>
              <w:t>三</w:t>
            </w:r>
            <w:r>
              <w:rPr>
                <w:rFonts w:hint="eastAsia" w:ascii="仿宋" w:hAnsi="仿宋" w:eastAsia="仿宋"/>
                <w:sz w:val="24"/>
              </w:rPr>
              <w:t>年</w:t>
            </w:r>
          </w:p>
        </w:tc>
        <w:tc>
          <w:tcPr>
            <w:tcW w:w="992" w:type="dxa"/>
          </w:tcPr>
          <w:p>
            <w:pPr>
              <w:widowControl/>
              <w:spacing w:beforeAutospacing="0" w:afterAutospacing="0" w:line="360" w:lineRule="atLeast"/>
              <w:jc w:val="center"/>
              <w:outlineLvl w:val="1"/>
              <w:rPr>
                <w:rFonts w:ascii="仿宋" w:hAnsi="仿宋" w:eastAsia="仿宋"/>
                <w:sz w:val="24"/>
              </w:rPr>
            </w:pPr>
          </w:p>
        </w:tc>
      </w:tr>
    </w:tbl>
    <w:p>
      <w:pPr>
        <w:rPr>
          <w:rFonts w:ascii="仿宋" w:hAnsi="仿宋" w:eastAsia="仿宋"/>
        </w:rPr>
      </w:pPr>
    </w:p>
    <w:p>
      <w:pPr>
        <w:pStyle w:val="2"/>
        <w:spacing w:beforeAutospacing="0" w:afterAutospacing="0" w:line="400" w:lineRule="exact"/>
        <w:ind w:firstLine="236" w:firstLineChars="98"/>
        <w:rPr>
          <w:rFonts w:ascii="仿宋" w:hAnsi="仿宋" w:eastAsia="仿宋"/>
          <w:b w:val="0"/>
          <w:sz w:val="24"/>
          <w:szCs w:val="24"/>
        </w:rPr>
      </w:pPr>
      <w:r>
        <w:rPr>
          <w:rFonts w:hint="eastAsia" w:ascii="仿宋" w:hAnsi="仿宋" w:eastAsia="仿宋"/>
          <w:sz w:val="24"/>
          <w:szCs w:val="24"/>
        </w:rPr>
        <w:t>3.</w:t>
      </w:r>
      <w:r>
        <w:rPr>
          <w:rFonts w:hint="eastAsia" w:ascii="仿宋" w:hAnsi="仿宋" w:eastAsia="仿宋"/>
          <w:b w:val="0"/>
          <w:sz w:val="24"/>
          <w:szCs w:val="24"/>
        </w:rPr>
        <w:t>项目要求</w:t>
      </w:r>
    </w:p>
    <w:p>
      <w:pPr>
        <w:pStyle w:val="3"/>
        <w:spacing w:beforeAutospacing="0" w:afterAutospacing="0" w:line="400" w:lineRule="exact"/>
        <w:ind w:firstLine="240" w:firstLineChars="100"/>
        <w:rPr>
          <w:rFonts w:ascii="仿宋" w:hAnsi="仿宋" w:eastAsia="仿宋"/>
          <w:sz w:val="24"/>
        </w:rPr>
      </w:pPr>
      <w:r>
        <w:rPr>
          <w:rFonts w:hint="eastAsia" w:ascii="仿宋" w:hAnsi="仿宋" w:eastAsia="仿宋"/>
          <w:sz w:val="24"/>
        </w:rPr>
        <w:t xml:space="preserve"> 3.1 第一包。</w:t>
      </w:r>
    </w:p>
    <w:p>
      <w:pPr>
        <w:pStyle w:val="3"/>
        <w:spacing w:beforeAutospacing="0" w:afterAutospacing="0" w:line="400" w:lineRule="exact"/>
        <w:ind w:firstLine="312" w:firstLineChars="130"/>
        <w:rPr>
          <w:rFonts w:ascii="仿宋" w:hAnsi="仿宋" w:eastAsia="仿宋"/>
          <w:bCs/>
          <w:sz w:val="24"/>
        </w:rPr>
      </w:pPr>
      <w:r>
        <w:rPr>
          <w:rFonts w:hint="eastAsia" w:ascii="仿宋" w:hAnsi="仿宋" w:eastAsia="仿宋"/>
          <w:sz w:val="24"/>
        </w:rPr>
        <w:t>3.1.1</w:t>
      </w:r>
      <w:r>
        <w:rPr>
          <w:rFonts w:hint="eastAsia" w:ascii="仿宋" w:hAnsi="仿宋" w:eastAsia="仿宋"/>
          <w:bCs/>
          <w:sz w:val="24"/>
        </w:rPr>
        <w:t>技术要求：</w:t>
      </w:r>
    </w:p>
    <w:p>
      <w:pPr>
        <w:pStyle w:val="4"/>
        <w:ind w:firstLine="240" w:firstLineChars="100"/>
        <w:rPr>
          <w:rFonts w:ascii="仿宋" w:hAnsi="仿宋" w:eastAsia="仿宋"/>
          <w:bCs/>
          <w:sz w:val="24"/>
        </w:rPr>
      </w:pPr>
      <w:r>
        <w:rPr>
          <w:rFonts w:hint="eastAsia" w:ascii="仿宋" w:hAnsi="仿宋" w:eastAsia="仿宋"/>
          <w:bCs/>
          <w:sz w:val="24"/>
        </w:rPr>
        <w:t>①现有设备型号：</w:t>
      </w:r>
    </w:p>
    <w:tbl>
      <w:tblPr>
        <w:tblStyle w:val="7"/>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78"/>
        <w:gridCol w:w="1985"/>
        <w:gridCol w:w="1984"/>
        <w:gridCol w:w="1134"/>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849"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序号</w:t>
            </w:r>
          </w:p>
        </w:tc>
        <w:tc>
          <w:tcPr>
            <w:tcW w:w="1978"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设备</w:t>
            </w:r>
          </w:p>
        </w:tc>
        <w:tc>
          <w:tcPr>
            <w:tcW w:w="1985"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规格型号</w:t>
            </w:r>
          </w:p>
        </w:tc>
        <w:tc>
          <w:tcPr>
            <w:tcW w:w="1984"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生产厂家</w:t>
            </w:r>
          </w:p>
        </w:tc>
        <w:tc>
          <w:tcPr>
            <w:tcW w:w="1134"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数量</w:t>
            </w:r>
          </w:p>
        </w:tc>
        <w:tc>
          <w:tcPr>
            <w:tcW w:w="907"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1</w:t>
            </w:r>
          </w:p>
        </w:tc>
        <w:tc>
          <w:tcPr>
            <w:tcW w:w="1978" w:type="dxa"/>
            <w:vAlign w:val="center"/>
          </w:tcPr>
          <w:p>
            <w:pPr>
              <w:pStyle w:val="9"/>
              <w:spacing w:beforeAutospacing="0" w:afterAutospacing="0" w:line="360" w:lineRule="auto"/>
              <w:jc w:val="left"/>
              <w:rPr>
                <w:rFonts w:ascii="仿宋" w:hAnsi="仿宋" w:eastAsia="仿宋"/>
                <w:bCs/>
              </w:rPr>
            </w:pPr>
            <w:r>
              <w:rPr>
                <w:rFonts w:hint="eastAsia" w:ascii="仿宋" w:hAnsi="仿宋" w:eastAsia="仿宋"/>
                <w:bCs/>
              </w:rPr>
              <w:t>CODcr水质在线自动监测仪</w:t>
            </w:r>
          </w:p>
        </w:tc>
        <w:tc>
          <w:tcPr>
            <w:tcW w:w="1985"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WS1501</w:t>
            </w:r>
          </w:p>
        </w:tc>
        <w:tc>
          <w:tcPr>
            <w:tcW w:w="1984"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安徽皖仪</w:t>
            </w:r>
          </w:p>
        </w:tc>
        <w:tc>
          <w:tcPr>
            <w:tcW w:w="1134"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2套</w:t>
            </w:r>
          </w:p>
        </w:tc>
        <w:tc>
          <w:tcPr>
            <w:tcW w:w="907" w:type="dxa"/>
            <w:vAlign w:val="center"/>
          </w:tcPr>
          <w:p>
            <w:pPr>
              <w:pStyle w:val="9"/>
              <w:spacing w:beforeAutospacing="0" w:afterAutospacing="0" w:line="360" w:lineRule="auto"/>
              <w:rPr>
                <w:rFonts w:ascii="仿宋" w:hAnsi="仿宋" w:eastAsia="仿宋"/>
                <w:bCs/>
              </w:rPr>
            </w:pPr>
          </w:p>
          <w:p>
            <w:pPr>
              <w:pStyle w:val="9"/>
              <w:spacing w:beforeAutospacing="0" w:afterAutospacing="0" w:line="360" w:lineRule="auto"/>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2</w:t>
            </w:r>
          </w:p>
        </w:tc>
        <w:tc>
          <w:tcPr>
            <w:tcW w:w="1978" w:type="dxa"/>
            <w:vAlign w:val="center"/>
          </w:tcPr>
          <w:p>
            <w:pPr>
              <w:pStyle w:val="9"/>
              <w:spacing w:beforeAutospacing="0" w:afterAutospacing="0" w:line="360" w:lineRule="auto"/>
              <w:jc w:val="left"/>
              <w:rPr>
                <w:rFonts w:ascii="仿宋" w:hAnsi="仿宋" w:eastAsia="仿宋"/>
                <w:bCs/>
              </w:rPr>
            </w:pPr>
            <w:r>
              <w:rPr>
                <w:rFonts w:hint="eastAsia" w:ascii="仿宋" w:hAnsi="仿宋" w:eastAsia="仿宋"/>
                <w:bCs/>
              </w:rPr>
              <w:t>大肠杆菌在线分析仪</w:t>
            </w:r>
          </w:p>
        </w:tc>
        <w:tc>
          <w:tcPr>
            <w:tcW w:w="1985"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WTF5000-ECO</w:t>
            </w:r>
          </w:p>
        </w:tc>
        <w:tc>
          <w:tcPr>
            <w:tcW w:w="1984"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北京京象</w:t>
            </w:r>
          </w:p>
        </w:tc>
        <w:tc>
          <w:tcPr>
            <w:tcW w:w="1134" w:type="dxa"/>
            <w:vAlign w:val="center"/>
          </w:tcPr>
          <w:p>
            <w:pPr>
              <w:rPr>
                <w:rFonts w:ascii="仿宋" w:hAnsi="仿宋" w:eastAsia="仿宋"/>
                <w:bCs/>
                <w:sz w:val="24"/>
              </w:rPr>
            </w:pPr>
          </w:p>
          <w:p>
            <w:pPr>
              <w:pStyle w:val="4"/>
              <w:ind w:firstLine="240" w:firstLineChars="100"/>
              <w:rPr>
                <w:rFonts w:ascii="仿宋" w:hAnsi="仿宋" w:eastAsia="仿宋"/>
                <w:bCs/>
                <w:sz w:val="24"/>
              </w:rPr>
            </w:pPr>
            <w:r>
              <w:rPr>
                <w:rFonts w:hint="eastAsia" w:ascii="仿宋" w:hAnsi="仿宋" w:eastAsia="仿宋"/>
                <w:bCs/>
                <w:sz w:val="24"/>
              </w:rPr>
              <w:t>2套</w:t>
            </w:r>
          </w:p>
        </w:tc>
        <w:tc>
          <w:tcPr>
            <w:tcW w:w="907" w:type="dxa"/>
            <w:vAlign w:val="center"/>
          </w:tcPr>
          <w:p>
            <w:pP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3</w:t>
            </w:r>
          </w:p>
        </w:tc>
        <w:tc>
          <w:tcPr>
            <w:tcW w:w="1978" w:type="dxa"/>
            <w:vAlign w:val="center"/>
          </w:tcPr>
          <w:p>
            <w:pPr>
              <w:pStyle w:val="9"/>
              <w:spacing w:beforeAutospacing="0" w:afterAutospacing="0" w:line="360" w:lineRule="auto"/>
              <w:jc w:val="left"/>
              <w:rPr>
                <w:rFonts w:ascii="仿宋" w:hAnsi="仿宋" w:eastAsia="仿宋"/>
                <w:bCs/>
              </w:rPr>
            </w:pPr>
            <w:r>
              <w:rPr>
                <w:rFonts w:hint="eastAsia" w:ascii="仿宋" w:hAnsi="仿宋" w:eastAsia="仿宋"/>
                <w:bCs/>
              </w:rPr>
              <w:t>超声波流量计</w:t>
            </w:r>
          </w:p>
        </w:tc>
        <w:tc>
          <w:tcPr>
            <w:tcW w:w="1985"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WL-1A1</w:t>
            </w:r>
          </w:p>
        </w:tc>
        <w:tc>
          <w:tcPr>
            <w:tcW w:w="1984"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北京九波声迪</w:t>
            </w:r>
          </w:p>
        </w:tc>
        <w:tc>
          <w:tcPr>
            <w:tcW w:w="1134" w:type="dxa"/>
            <w:vAlign w:val="center"/>
          </w:tcPr>
          <w:p>
            <w:pPr>
              <w:jc w:val="center"/>
              <w:rPr>
                <w:rFonts w:ascii="仿宋" w:hAnsi="仿宋" w:eastAsia="仿宋"/>
                <w:bCs/>
                <w:sz w:val="24"/>
              </w:rPr>
            </w:pPr>
          </w:p>
          <w:p>
            <w:pPr>
              <w:pStyle w:val="4"/>
              <w:jc w:val="center"/>
              <w:rPr>
                <w:rFonts w:ascii="仿宋" w:hAnsi="仿宋" w:eastAsia="仿宋"/>
                <w:bCs/>
                <w:sz w:val="24"/>
              </w:rPr>
            </w:pPr>
            <w:r>
              <w:rPr>
                <w:rFonts w:hint="eastAsia" w:ascii="仿宋" w:hAnsi="仿宋" w:eastAsia="仿宋"/>
                <w:bCs/>
                <w:sz w:val="24"/>
              </w:rPr>
              <w:t>1套</w:t>
            </w:r>
          </w:p>
        </w:tc>
        <w:tc>
          <w:tcPr>
            <w:tcW w:w="907" w:type="dxa"/>
            <w:vAlign w:val="center"/>
          </w:tcPr>
          <w:p>
            <w:pP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4</w:t>
            </w:r>
          </w:p>
        </w:tc>
        <w:tc>
          <w:tcPr>
            <w:tcW w:w="1978"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电磁流量计</w:t>
            </w:r>
          </w:p>
        </w:tc>
        <w:tc>
          <w:tcPr>
            <w:tcW w:w="1985"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WT4300</w:t>
            </w:r>
          </w:p>
        </w:tc>
        <w:tc>
          <w:tcPr>
            <w:tcW w:w="1984"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成都玛雅</w:t>
            </w:r>
          </w:p>
        </w:tc>
        <w:tc>
          <w:tcPr>
            <w:tcW w:w="1134" w:type="dxa"/>
            <w:vAlign w:val="center"/>
          </w:tcPr>
          <w:p>
            <w:pPr>
              <w:jc w:val="center"/>
              <w:rPr>
                <w:rFonts w:ascii="仿宋" w:hAnsi="仿宋" w:eastAsia="仿宋"/>
                <w:bCs/>
                <w:sz w:val="24"/>
              </w:rPr>
            </w:pPr>
            <w:r>
              <w:rPr>
                <w:rFonts w:hint="eastAsia" w:ascii="仿宋" w:hAnsi="仿宋" w:eastAsia="仿宋"/>
                <w:bCs/>
                <w:sz w:val="24"/>
              </w:rPr>
              <w:t>1套</w:t>
            </w:r>
          </w:p>
        </w:tc>
        <w:tc>
          <w:tcPr>
            <w:tcW w:w="907" w:type="dxa"/>
            <w:vAlign w:val="center"/>
          </w:tcPr>
          <w:p>
            <w:pP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5</w:t>
            </w:r>
          </w:p>
        </w:tc>
        <w:tc>
          <w:tcPr>
            <w:tcW w:w="1978"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余氯在线分析仪</w:t>
            </w:r>
          </w:p>
        </w:tc>
        <w:tc>
          <w:tcPr>
            <w:tcW w:w="1985" w:type="dxa"/>
            <w:vAlign w:val="center"/>
          </w:tcPr>
          <w:p>
            <w:pPr>
              <w:pStyle w:val="9"/>
              <w:spacing w:beforeAutospacing="0" w:afterAutospacing="0" w:line="360" w:lineRule="auto"/>
              <w:rPr>
                <w:rFonts w:ascii="仿宋" w:hAnsi="仿宋" w:eastAsia="仿宋"/>
                <w:bCs/>
              </w:rPr>
            </w:pPr>
            <w:r>
              <w:rPr>
                <w:rFonts w:ascii="仿宋" w:hAnsi="仿宋" w:eastAsia="仿宋"/>
                <w:bCs/>
              </w:rPr>
              <w:t>C</w:t>
            </w:r>
            <w:r>
              <w:rPr>
                <w:rFonts w:hint="eastAsia" w:ascii="仿宋" w:hAnsi="仿宋" w:eastAsia="仿宋"/>
                <w:bCs/>
              </w:rPr>
              <w:t>t-6300</w:t>
            </w:r>
          </w:p>
        </w:tc>
        <w:tc>
          <w:tcPr>
            <w:tcW w:w="1984"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上泰</w:t>
            </w:r>
          </w:p>
        </w:tc>
        <w:tc>
          <w:tcPr>
            <w:tcW w:w="1134" w:type="dxa"/>
            <w:vAlign w:val="center"/>
          </w:tcPr>
          <w:p>
            <w:pPr>
              <w:jc w:val="center"/>
              <w:rPr>
                <w:rFonts w:ascii="仿宋" w:hAnsi="仿宋" w:eastAsia="仿宋"/>
                <w:bCs/>
                <w:sz w:val="24"/>
              </w:rPr>
            </w:pPr>
            <w:r>
              <w:rPr>
                <w:rFonts w:hint="eastAsia" w:ascii="仿宋" w:hAnsi="仿宋" w:eastAsia="仿宋"/>
                <w:bCs/>
                <w:sz w:val="24"/>
              </w:rPr>
              <w:t>2套</w:t>
            </w:r>
          </w:p>
        </w:tc>
        <w:tc>
          <w:tcPr>
            <w:tcW w:w="907" w:type="dxa"/>
            <w:vAlign w:val="center"/>
          </w:tcPr>
          <w:p>
            <w:pP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6</w:t>
            </w:r>
          </w:p>
        </w:tc>
        <w:tc>
          <w:tcPr>
            <w:tcW w:w="1978"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PH在线分析仪</w:t>
            </w:r>
          </w:p>
        </w:tc>
        <w:tc>
          <w:tcPr>
            <w:tcW w:w="1985"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PC-3110</w:t>
            </w:r>
          </w:p>
        </w:tc>
        <w:tc>
          <w:tcPr>
            <w:tcW w:w="1984"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上泰</w:t>
            </w:r>
          </w:p>
        </w:tc>
        <w:tc>
          <w:tcPr>
            <w:tcW w:w="1134" w:type="dxa"/>
            <w:vAlign w:val="center"/>
          </w:tcPr>
          <w:p>
            <w:pPr>
              <w:jc w:val="center"/>
              <w:rPr>
                <w:rFonts w:ascii="仿宋" w:hAnsi="仿宋" w:eastAsia="仿宋"/>
                <w:bCs/>
                <w:sz w:val="24"/>
              </w:rPr>
            </w:pPr>
            <w:r>
              <w:rPr>
                <w:rFonts w:hint="eastAsia" w:ascii="仿宋" w:hAnsi="仿宋" w:eastAsia="仿宋"/>
                <w:bCs/>
                <w:sz w:val="24"/>
              </w:rPr>
              <w:t>2套</w:t>
            </w:r>
          </w:p>
        </w:tc>
        <w:tc>
          <w:tcPr>
            <w:tcW w:w="907" w:type="dxa"/>
            <w:vAlign w:val="center"/>
          </w:tcPr>
          <w:p>
            <w:pP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7</w:t>
            </w:r>
          </w:p>
        </w:tc>
        <w:tc>
          <w:tcPr>
            <w:tcW w:w="1978"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博控数采仪</w:t>
            </w:r>
          </w:p>
        </w:tc>
        <w:tc>
          <w:tcPr>
            <w:tcW w:w="1985"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K37</w:t>
            </w:r>
          </w:p>
        </w:tc>
        <w:tc>
          <w:tcPr>
            <w:tcW w:w="1984"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广州博控</w:t>
            </w:r>
          </w:p>
        </w:tc>
        <w:tc>
          <w:tcPr>
            <w:tcW w:w="1134" w:type="dxa"/>
            <w:vAlign w:val="center"/>
          </w:tcPr>
          <w:p>
            <w:pPr>
              <w:jc w:val="center"/>
              <w:rPr>
                <w:rFonts w:ascii="仿宋" w:hAnsi="仿宋" w:eastAsia="仿宋"/>
                <w:bCs/>
                <w:sz w:val="24"/>
              </w:rPr>
            </w:pPr>
            <w:r>
              <w:rPr>
                <w:rFonts w:hint="eastAsia" w:ascii="仿宋" w:hAnsi="仿宋" w:eastAsia="仿宋"/>
                <w:bCs/>
                <w:sz w:val="24"/>
              </w:rPr>
              <w:t>2套</w:t>
            </w:r>
          </w:p>
        </w:tc>
        <w:tc>
          <w:tcPr>
            <w:tcW w:w="907" w:type="dxa"/>
            <w:vAlign w:val="center"/>
          </w:tcPr>
          <w:p>
            <w:pP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8</w:t>
            </w:r>
          </w:p>
        </w:tc>
        <w:tc>
          <w:tcPr>
            <w:tcW w:w="1978"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自吸泵</w:t>
            </w:r>
          </w:p>
        </w:tc>
        <w:tc>
          <w:tcPr>
            <w:tcW w:w="1985"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B-21</w:t>
            </w:r>
          </w:p>
        </w:tc>
        <w:tc>
          <w:tcPr>
            <w:tcW w:w="1984" w:type="dxa"/>
            <w:vAlign w:val="center"/>
          </w:tcPr>
          <w:p>
            <w:pPr>
              <w:pStyle w:val="9"/>
              <w:spacing w:beforeAutospacing="0" w:afterAutospacing="0" w:line="360" w:lineRule="auto"/>
              <w:rPr>
                <w:rFonts w:ascii="仿宋" w:hAnsi="仿宋" w:eastAsia="仿宋"/>
                <w:bCs/>
              </w:rPr>
            </w:pPr>
            <w:r>
              <w:rPr>
                <w:rFonts w:hint="eastAsia" w:ascii="仿宋" w:hAnsi="仿宋" w:eastAsia="仿宋"/>
                <w:bCs/>
              </w:rPr>
              <w:t>新界</w:t>
            </w:r>
          </w:p>
        </w:tc>
        <w:tc>
          <w:tcPr>
            <w:tcW w:w="1134" w:type="dxa"/>
            <w:vAlign w:val="center"/>
          </w:tcPr>
          <w:p>
            <w:pPr>
              <w:jc w:val="center"/>
              <w:rPr>
                <w:rFonts w:ascii="仿宋" w:hAnsi="仿宋" w:eastAsia="仿宋"/>
                <w:bCs/>
                <w:sz w:val="24"/>
              </w:rPr>
            </w:pPr>
            <w:r>
              <w:rPr>
                <w:rFonts w:hint="eastAsia" w:ascii="仿宋" w:hAnsi="仿宋" w:eastAsia="仿宋"/>
                <w:bCs/>
                <w:sz w:val="24"/>
              </w:rPr>
              <w:t>2台</w:t>
            </w:r>
          </w:p>
        </w:tc>
        <w:tc>
          <w:tcPr>
            <w:tcW w:w="907" w:type="dxa"/>
            <w:vAlign w:val="center"/>
          </w:tcPr>
          <w:p>
            <w:pPr>
              <w:rPr>
                <w:rFonts w:ascii="仿宋" w:hAnsi="仿宋" w:eastAsia="仿宋"/>
                <w:bCs/>
                <w:sz w:val="24"/>
              </w:rPr>
            </w:pPr>
          </w:p>
        </w:tc>
      </w:tr>
    </w:tbl>
    <w:p>
      <w:pPr>
        <w:pStyle w:val="4"/>
        <w:ind w:firstLine="640"/>
        <w:rPr>
          <w:rFonts w:ascii="仿宋" w:hAnsi="仿宋" w:eastAsia="仿宋"/>
          <w:bCs/>
          <w:sz w:val="24"/>
        </w:rPr>
      </w:pPr>
      <w:r>
        <w:rPr>
          <w:rFonts w:hint="eastAsia" w:ascii="仿宋" w:hAnsi="仿宋" w:eastAsia="仿宋"/>
          <w:bCs/>
          <w:sz w:val="24"/>
        </w:rPr>
        <w:t>②试剂内容：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零点标准溶液</w:t>
            </w:r>
          </w:p>
        </w:tc>
        <w:tc>
          <w:tcPr>
            <w:tcW w:w="3345"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COD在线监测仪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COD标准溶液</w:t>
            </w:r>
          </w:p>
        </w:tc>
        <w:tc>
          <w:tcPr>
            <w:tcW w:w="3345"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COD在线监测仪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掩蔽剂溶液</w:t>
            </w:r>
          </w:p>
        </w:tc>
        <w:tc>
          <w:tcPr>
            <w:tcW w:w="3345"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COD在线监测仪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氧化剂溶液</w:t>
            </w:r>
          </w:p>
        </w:tc>
        <w:tc>
          <w:tcPr>
            <w:tcW w:w="3345"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COD在线监测仪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催化剂溶液</w:t>
            </w:r>
          </w:p>
        </w:tc>
        <w:tc>
          <w:tcPr>
            <w:tcW w:w="3345"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COD在线监测仪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培养基</w:t>
            </w:r>
          </w:p>
        </w:tc>
        <w:tc>
          <w:tcPr>
            <w:tcW w:w="3345"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大肠杆菌在线监测仪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标定溶液</w:t>
            </w:r>
          </w:p>
        </w:tc>
        <w:tc>
          <w:tcPr>
            <w:tcW w:w="3345"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大肠杆菌在线监测仪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辅助溶液</w:t>
            </w:r>
          </w:p>
        </w:tc>
        <w:tc>
          <w:tcPr>
            <w:tcW w:w="3345" w:type="dxa"/>
          </w:tcPr>
          <w:p>
            <w:pPr>
              <w:spacing w:beforeAutospacing="0" w:afterAutospacing="0" w:line="360" w:lineRule="auto"/>
              <w:jc w:val="center"/>
              <w:rPr>
                <w:rFonts w:ascii="仿宋" w:hAnsi="仿宋" w:eastAsia="仿宋"/>
                <w:bCs/>
                <w:sz w:val="24"/>
              </w:rPr>
            </w:pPr>
            <w:r>
              <w:rPr>
                <w:rFonts w:hint="eastAsia" w:ascii="仿宋" w:hAnsi="仿宋" w:eastAsia="仿宋"/>
                <w:bCs/>
                <w:sz w:val="24"/>
              </w:rPr>
              <w:t>大肠杆菌在线监测仪</w:t>
            </w:r>
          </w:p>
        </w:tc>
      </w:tr>
    </w:tbl>
    <w:p>
      <w:pPr>
        <w:pStyle w:val="3"/>
        <w:spacing w:beforeAutospacing="0" w:afterAutospacing="0" w:line="400" w:lineRule="exact"/>
        <w:ind w:firstLine="312" w:firstLineChars="130"/>
        <w:rPr>
          <w:rFonts w:ascii="仿宋" w:hAnsi="仿宋" w:eastAsia="仿宋"/>
          <w:bCs/>
          <w:sz w:val="24"/>
        </w:rPr>
      </w:pPr>
      <w:r>
        <w:rPr>
          <w:rFonts w:hint="eastAsia" w:ascii="仿宋" w:hAnsi="仿宋" w:eastAsia="仿宋"/>
          <w:sz w:val="24"/>
        </w:rPr>
        <w:t>3.1.2</w:t>
      </w:r>
      <w:r>
        <w:rPr>
          <w:rFonts w:hint="eastAsia" w:ascii="仿宋" w:hAnsi="仿宋" w:eastAsia="仿宋"/>
          <w:bCs/>
          <w:sz w:val="24"/>
        </w:rPr>
        <w:t>服务内容和要求：</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3.1.2.1服务内容</w:t>
      </w:r>
    </w:p>
    <w:p>
      <w:pPr>
        <w:pStyle w:val="3"/>
        <w:spacing w:beforeAutospacing="0" w:afterAutospacing="0" w:line="400" w:lineRule="exact"/>
        <w:ind w:firstLine="432" w:firstLineChars="180"/>
        <w:rPr>
          <w:rFonts w:ascii="仿宋" w:hAnsi="仿宋" w:eastAsia="仿宋"/>
          <w:bCs/>
          <w:sz w:val="24"/>
        </w:rPr>
      </w:pPr>
      <w:r>
        <w:rPr>
          <w:rFonts w:hint="eastAsia" w:ascii="仿宋" w:hAnsi="仿宋" w:eastAsia="仿宋"/>
          <w:sz w:val="24"/>
        </w:rPr>
        <w:t>供应商应保证</w:t>
      </w:r>
      <w:r>
        <w:rPr>
          <w:rFonts w:hint="eastAsia" w:ascii="仿宋" w:hAnsi="仿宋" w:eastAsia="仿宋"/>
          <w:sz w:val="24"/>
          <w:lang w:eastAsia="zh-CN"/>
        </w:rPr>
        <w:t>威远县</w:t>
      </w:r>
      <w:r>
        <w:rPr>
          <w:rFonts w:hint="eastAsia" w:ascii="仿宋" w:hAnsi="仿宋" w:eastAsia="仿宋"/>
          <w:sz w:val="24"/>
        </w:rPr>
        <w:t>中医医院污水在线监测系统正常运行，并且按照环保相关法律法规进行正规运行维护。</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3.1.2.2运行维护服务执行标准</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在线监测仪表运行维护服务应严格遵守国家相关法律法规及国家行政部门颁发的相关技术标准，严格按照（不限于）以下技术规范及文件开展运维工作，监测及传数据必须真实、合格、有效。</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《污染源在线监控（监测）系统数据传输标准》（HJ/T212-2017）；</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《污染源自动监控管理办法》（国家环境保护总局令第28号）；</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HJ355-2019 水污染源在线监测系统（CODCr、NH3-N 等）运行技术规范</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HJ/T 352-2007  环境污染源自动监控信息传输、交换技术规范（试行）；</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HJ/T 353-2007  水污染源在线监测系统安装技术规范（试行）；</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HJ/T 354-2007  水污染源在线监测系统验收技术规范（试行）；</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HJ/T 355-2007  水污染源在线监测系统运行与考核技术规范（试行）；</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HJ/T  356-2007  水污染源在线监测系统数据有效性判别技术规范（试行）；</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HJ/T 212-2017  污染物在线监控（监测）系统数 据传输标准；</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《化学需氧量（CODcr）水质在线自动监测仪》 （HJ/T377-2007）；环保部门的新的法律法规及相关要求。</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3.1.2.3污染源水质在线监测仪表年度运行维护服务技术要求</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（1）每周对水污染源在线监测系统至少进行1次现场维护，现场维护内容包括：</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水质大肠杆菌在线监测仪酶底物试剂菌种液体，需5-7天更换一次。</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检查各台水污染源在线监测仪器及辅助设备的运行状态和主要技术参数，判断运行是否正常。</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检查污水供应、泵取水情况，检查内部管路是否通畅，仪器自动清洗装置是否运行正常，检查各自动分析仪的进样水管和排水管是否清洁，必要时进行清洗。定期对水泵和过滤网进行清洗。</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检查仪表所需电路系统、通讯系统是否正常。</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对于用电极法测量的仪器，检查电极填充液是否正常，必要时对电极探头进行清洗。</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分析仪、测量的仪器，检查标准溶液和试剂填充，进行部件的清洗。检查各仪器标准溶液是否在有效使用期内，保证按相关要求定期更换标准溶液和分析试剂。</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检查数据采集传输仪运行情况，并检查连接处有无损坏，对数据进行抽样检查，对比自动分析仪、数据采集传输仪及及监控中心平台接收到的数据是否一致。</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检查水质自动采样系统管路是否清洁，采样泵、采样桶和留样系统是否正常工作，留样保存温度是否正常。</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（2）每月现场维护中至少1次需包括以下内容：</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每月的现场维护应包括对水污染源在线监测仪器进行一次保养，对仪器分析系统进行维护；对数据存储或控制系统工作状态进行一次检查。</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水污染源在线监测仪器：根据相应仪器操作维护说明，检查和保养易损耗件，必要时更换；检查及清洗取样单元、消解单元、检测单元、计量单元等。</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水质自动采样系统：根据情况更换蠕动泵管、清洗混合采样瓶等。</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进行水质在线自动监测仪的零点和量程校正。</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水质在线自动监测仪：检查内部试管是否污染，必要时进行清洗。</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（3）每季度检查水污染源在线监测仪器：根据相应仪器操作维护说明，检查及更换易损耗件，检查关键零部件可靠性，如计量单元准确性、反应室密封性等，必要时进行更换。</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根据实际情况更换水质在线自动监测仪水样导管、排水导管、活塞和密封圈，保持各仪器管路通畅，出水正常，无漏液。</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保持监测设备的清洁，防止仪器振动，保证监测用房内的温度、湿度满足仪器正常运行的需求。</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对电源控制器、空调等辅助设备进行经常性检查。</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对于水污染源在线监测仪器所产生的废液应以专用容器予以回收，并按照GB18597的有关规定，交由有危险废物处理资质的单位处理，不得随意排放或回流入污水排放口。</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（4）日常维护</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进行日常维护时，运行人员在对水污染源在线监测仪器进行故障排查与检查维护时，应作好记录。记录应包含该系统运行状况、系统辅助设备运行状况、系统校准工作等必检项目和记录，以及仪器使用说明书中规定的其他检查项目和校准、维护保养、维修记录。</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对电源控制器、空调、排风扇、供暖、消防设备等辅助设备要进行经常性检查。</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备足备品备件，对其使用情况进行定期清点，并根据实际需要进行增购，不断调整和补充各种备品备件的存储数量。</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（5）检修和故障处理要求</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水污染源在线监测仪器需维修的，应在维修前报相应环境保护管理部门备案；需停运、拆除、更换、重新运行的，应经相应环境保护管理部门批准同意。</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因不可抗力和突发性原因致使水污染源在线监测系统停止运行或不能正常运行时，应当在 24 h 内报告相应环境保护管理部门并书面报告停运原因和设备情况。</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水污染源在线监测仪器经过维修后，在正常使用和运行之前应确保其维修全部完</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成并通过校准和比对试验。若在线监测仪器进行了更换，在正常使用和运行之前，按国家有关技术规定对仪器进行校准检查。可由第三方或运行单位自行出具比对检测报告。</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（6）单次应急服务（不限次数）</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在仪表出现紧急故障时，做好软硬件的故障诊断以及检修工作；做好仪器停用前的防护性维护及双方同意的其他服务；响应时间：远程联络为30分钟以内（电话、网络、视频等），1小时以内到达现场。</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（7）建立完善的运营维护制度。</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应配备1-2名专业操作人员，按运维要求完成相关工作。并建立以下相关运营制度：</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岗位责任制；</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系统日常检测制度；</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系统及检测仪器设备的日常管理和维护制度；</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运营状况记录及监督检查制度；</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突发性事故处理及报告制度；</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文件资料管理制度；</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安全工作制度。</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制定每类仪表常规定期维护保养计划表。</w:t>
      </w:r>
    </w:p>
    <w:p>
      <w:pPr>
        <w:pStyle w:val="3"/>
        <w:spacing w:beforeAutospacing="0" w:afterAutospacing="0" w:line="400" w:lineRule="exact"/>
        <w:ind w:firstLine="480"/>
        <w:rPr>
          <w:rFonts w:ascii="仿宋" w:hAnsi="仿宋" w:eastAsia="仿宋"/>
          <w:bCs/>
          <w:sz w:val="24"/>
        </w:rPr>
      </w:pPr>
      <w:r>
        <w:rPr>
          <w:rFonts w:hint="eastAsia" w:ascii="仿宋" w:hAnsi="仿宋" w:eastAsia="仿宋"/>
          <w:sz w:val="24"/>
        </w:rPr>
        <w:t>▲3.1.2.4.供应商需严格按照相关技术规范进行运行维护，并保证设备正常运行。如出现特殊情况应及时与采购人负责人进行沟通，以确保工作顺利完成。</w:t>
      </w:r>
    </w:p>
    <w:p>
      <w:pPr>
        <w:pStyle w:val="2"/>
        <w:spacing w:beforeAutospacing="0" w:afterAutospacing="0" w:line="400" w:lineRule="exact"/>
        <w:ind w:firstLine="236" w:firstLineChars="98"/>
        <w:rPr>
          <w:rFonts w:ascii="仿宋" w:hAnsi="仿宋" w:eastAsia="仿宋"/>
          <w:b w:val="0"/>
          <w:sz w:val="24"/>
          <w:szCs w:val="24"/>
        </w:rPr>
      </w:pPr>
      <w:r>
        <w:rPr>
          <w:rFonts w:hint="eastAsia" w:ascii="仿宋" w:hAnsi="仿宋" w:eastAsia="仿宋"/>
          <w:sz w:val="24"/>
          <w:szCs w:val="24"/>
        </w:rPr>
        <w:t>4.</w:t>
      </w:r>
      <w:r>
        <w:rPr>
          <w:rStyle w:val="10"/>
          <w:rFonts w:hint="eastAsia" w:ascii="仿宋_GB2312" w:hAnsi="仿宋" w:eastAsia="仿宋_GB2312" w:cs="仿宋"/>
          <w:caps/>
          <w:sz w:val="28"/>
          <w:szCs w:val="28"/>
        </w:rPr>
        <w:t>▲</w:t>
      </w:r>
      <w:r>
        <w:rPr>
          <w:rFonts w:hint="eastAsia" w:ascii="仿宋" w:hAnsi="仿宋" w:eastAsia="仿宋"/>
          <w:b w:val="0"/>
          <w:sz w:val="24"/>
          <w:szCs w:val="24"/>
        </w:rPr>
        <w:t>商务要求</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 xml:space="preserve">4.1、服务期限及地点： </w:t>
      </w:r>
    </w:p>
    <w:p>
      <w:pPr>
        <w:pStyle w:val="3"/>
        <w:spacing w:beforeAutospacing="0" w:afterAutospacing="0" w:line="400" w:lineRule="exact"/>
        <w:ind w:firstLine="480"/>
        <w:rPr>
          <w:rFonts w:hint="eastAsia" w:ascii="仿宋" w:hAnsi="仿宋" w:eastAsia="仿宋"/>
          <w:sz w:val="24"/>
          <w:lang w:eastAsia="zh-CN"/>
        </w:rPr>
      </w:pPr>
      <w:r>
        <w:rPr>
          <w:rFonts w:hint="eastAsia" w:ascii="仿宋" w:hAnsi="仿宋" w:eastAsia="仿宋"/>
          <w:sz w:val="24"/>
        </w:rPr>
        <w:t>4.1.1 服务地点：</w:t>
      </w:r>
      <w:r>
        <w:rPr>
          <w:rFonts w:hint="eastAsia" w:ascii="仿宋" w:hAnsi="仿宋" w:eastAsia="仿宋"/>
          <w:sz w:val="24"/>
          <w:lang w:eastAsia="zh-CN"/>
        </w:rPr>
        <w:t>威远县</w:t>
      </w:r>
      <w:r>
        <w:rPr>
          <w:rFonts w:hint="eastAsia" w:ascii="仿宋" w:hAnsi="仿宋" w:eastAsia="仿宋"/>
          <w:sz w:val="24"/>
        </w:rPr>
        <w:t>中医医院</w:t>
      </w:r>
      <w:r>
        <w:rPr>
          <w:rFonts w:hint="eastAsia" w:ascii="仿宋" w:hAnsi="仿宋" w:eastAsia="仿宋"/>
          <w:sz w:val="24"/>
          <w:lang w:eastAsia="zh-CN"/>
        </w:rPr>
        <w:t>（威远县严陵镇二环路东段</w:t>
      </w:r>
      <w:r>
        <w:rPr>
          <w:rFonts w:hint="eastAsia" w:ascii="仿宋" w:hAnsi="仿宋" w:eastAsia="仿宋"/>
          <w:sz w:val="24"/>
          <w:lang w:val="en-US" w:eastAsia="zh-CN"/>
        </w:rPr>
        <w:t>30号</w:t>
      </w:r>
      <w:r>
        <w:rPr>
          <w:rFonts w:hint="eastAsia" w:ascii="仿宋" w:hAnsi="仿宋" w:eastAsia="仿宋"/>
          <w:sz w:val="24"/>
          <w:lang w:eastAsia="zh-CN"/>
        </w:rPr>
        <w:t>）。</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4.1.2服务期限:</w:t>
      </w:r>
      <w:r>
        <w:rPr>
          <w:rFonts w:hint="eastAsia" w:ascii="仿宋" w:hAnsi="仿宋" w:eastAsia="仿宋"/>
          <w:sz w:val="24"/>
          <w:lang w:eastAsia="zh-CN"/>
        </w:rPr>
        <w:t>三</w:t>
      </w:r>
      <w:r>
        <w:rPr>
          <w:rFonts w:hint="eastAsia" w:ascii="仿宋" w:hAnsi="仿宋" w:eastAsia="仿宋"/>
          <w:sz w:val="24"/>
        </w:rPr>
        <w:t xml:space="preserve">年。 </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 xml:space="preserve">4.2、付款方式及条件： </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4.2.1付款方式：合同签订后，</w:t>
      </w:r>
      <w:r>
        <w:rPr>
          <w:rFonts w:hint="eastAsia" w:ascii="仿宋" w:hAnsi="仿宋" w:eastAsia="仿宋"/>
          <w:sz w:val="24"/>
          <w:lang w:eastAsia="zh-CN"/>
        </w:rPr>
        <w:t>维护服务每满</w:t>
      </w:r>
      <w:r>
        <w:rPr>
          <w:rFonts w:hint="eastAsia" w:ascii="仿宋" w:hAnsi="仿宋" w:eastAsia="仿宋"/>
          <w:sz w:val="24"/>
          <w:lang w:val="en-US" w:eastAsia="zh-CN"/>
        </w:rPr>
        <w:t>6个月后开具1次发票。</w:t>
      </w:r>
      <w:r>
        <w:rPr>
          <w:rFonts w:hint="eastAsia" w:ascii="仿宋" w:hAnsi="仿宋" w:eastAsia="仿宋"/>
          <w:sz w:val="24"/>
        </w:rPr>
        <w:t>采购人自收到发票之日起10个工作日内，将服务费全额支付至采购合同预定账户。</w:t>
      </w:r>
    </w:p>
    <w:p>
      <w:pPr>
        <w:pStyle w:val="3"/>
        <w:spacing w:beforeAutospacing="0" w:afterAutospacing="0" w:line="400" w:lineRule="exact"/>
        <w:ind w:firstLine="480"/>
        <w:rPr>
          <w:rFonts w:hint="eastAsia" w:ascii="仿宋" w:hAnsi="仿宋" w:eastAsia="仿宋"/>
          <w:sz w:val="24"/>
        </w:rPr>
      </w:pPr>
      <w:r>
        <w:rPr>
          <w:rFonts w:hint="eastAsia" w:ascii="仿宋" w:hAnsi="仿宋" w:eastAsia="仿宋"/>
          <w:sz w:val="24"/>
        </w:rPr>
        <w:t>4.2.2付款条件：供应商在申请款项时须出具与支付金额相符的合法有效技术服务类发票及凭证资料。</w:t>
      </w:r>
    </w:p>
    <w:p>
      <w:pPr>
        <w:pStyle w:val="3"/>
        <w:spacing w:beforeAutospacing="0" w:afterAutospacing="0" w:line="400" w:lineRule="exact"/>
        <w:ind w:firstLine="480"/>
        <w:rPr>
          <w:rFonts w:ascii="仿宋" w:hAnsi="仿宋" w:eastAsia="仿宋"/>
          <w:b w:val="0"/>
          <w:sz w:val="24"/>
          <w:szCs w:val="24"/>
        </w:rPr>
      </w:pPr>
      <w:r>
        <w:rPr>
          <w:rFonts w:hint="eastAsia" w:ascii="仿宋" w:hAnsi="仿宋" w:eastAsia="仿宋"/>
          <w:sz w:val="24"/>
          <w:szCs w:val="24"/>
        </w:rPr>
        <w:t>5.</w:t>
      </w:r>
      <w:r>
        <w:rPr>
          <w:rFonts w:hint="eastAsia" w:ascii="仿宋" w:hAnsi="仿宋" w:eastAsia="仿宋"/>
          <w:b w:val="0"/>
          <w:sz w:val="24"/>
          <w:szCs w:val="24"/>
        </w:rPr>
        <w:t>其他要求</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5.1污水在线监测站所需水、电费用由排污单位负责。</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5.2服务期内污水在线监测设备所产生的所有化学性废液，由供应商按照国家规范进行收集，并且定期移交采购方进行合法处置。</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5.3 服务期内污水在线监测所有设备</w:t>
      </w:r>
      <w:r>
        <w:rPr>
          <w:rFonts w:hint="eastAsia" w:ascii="仿宋" w:hAnsi="仿宋" w:eastAsia="仿宋"/>
          <w:sz w:val="24"/>
          <w:lang w:val="en-US" w:eastAsia="zh-CN"/>
        </w:rPr>
        <w:t>100元内（含100元）</w:t>
      </w:r>
      <w:r>
        <w:rPr>
          <w:rFonts w:hint="eastAsia" w:ascii="仿宋" w:hAnsi="仿宋" w:eastAsia="仿宋"/>
          <w:sz w:val="24"/>
        </w:rPr>
        <w:t>由供应商免费维修，维修设备</w:t>
      </w:r>
      <w:r>
        <w:rPr>
          <w:rFonts w:hint="eastAsia" w:ascii="仿宋" w:hAnsi="仿宋" w:eastAsia="仿宋"/>
          <w:sz w:val="24"/>
          <w:lang w:eastAsia="zh-CN"/>
        </w:rPr>
        <w:t>高于</w:t>
      </w:r>
      <w:r>
        <w:rPr>
          <w:rFonts w:hint="eastAsia" w:ascii="仿宋" w:hAnsi="仿宋" w:eastAsia="仿宋"/>
          <w:sz w:val="24"/>
          <w:lang w:val="en-US" w:eastAsia="zh-CN"/>
        </w:rPr>
        <w:t>100元</w:t>
      </w:r>
      <w:r>
        <w:rPr>
          <w:rFonts w:hint="eastAsia" w:ascii="仿宋" w:hAnsi="仿宋" w:eastAsia="仿宋"/>
          <w:sz w:val="24"/>
        </w:rPr>
        <w:t>所产生的配件和耗材费用，由采购方另行付费。</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▲5.4由于市场上各个厂家生产的大肠杆菌试剂的不通用性，为了保证采购方设备正常有效的工作，供应商需提供大肠杆菌监测设备检测试剂生产厂家合法购销的证明材料。</w:t>
      </w:r>
    </w:p>
    <w:p>
      <w:pPr>
        <w:pStyle w:val="3"/>
        <w:spacing w:beforeAutospacing="0" w:afterAutospacing="0" w:line="400" w:lineRule="exact"/>
        <w:ind w:firstLine="480"/>
        <w:rPr>
          <w:rFonts w:hint="eastAsia" w:ascii="仿宋" w:hAnsi="仿宋" w:eastAsia="仿宋"/>
          <w:sz w:val="24"/>
          <w:lang w:eastAsia="zh-CN"/>
        </w:rPr>
      </w:pPr>
      <w:r>
        <w:rPr>
          <w:rFonts w:hint="eastAsia" w:ascii="仿宋" w:hAnsi="仿宋" w:eastAsia="仿宋"/>
          <w:sz w:val="24"/>
        </w:rPr>
        <w:t>▲5.5由于采购单位为四川省污染源重点排污单位，加上</w:t>
      </w:r>
      <w:r>
        <w:rPr>
          <w:rFonts w:hint="eastAsia" w:ascii="仿宋" w:hAnsi="仿宋" w:eastAsia="仿宋"/>
          <w:sz w:val="24"/>
          <w:lang w:eastAsia="zh-CN"/>
        </w:rPr>
        <w:t>各级</w:t>
      </w:r>
      <w:r>
        <w:rPr>
          <w:rFonts w:hint="eastAsia" w:ascii="仿宋" w:hAnsi="仿宋" w:eastAsia="仿宋"/>
          <w:sz w:val="24"/>
        </w:rPr>
        <w:t>生态环境局监管的严格性；采购方特别要求供应商需在内江市</w:t>
      </w:r>
      <w:r>
        <w:rPr>
          <w:rFonts w:hint="eastAsia" w:ascii="仿宋" w:hAnsi="仿宋" w:eastAsia="仿宋"/>
          <w:sz w:val="24"/>
          <w:lang w:eastAsia="zh-CN"/>
        </w:rPr>
        <w:t>周边</w:t>
      </w:r>
      <w:r>
        <w:rPr>
          <w:rFonts w:hint="eastAsia" w:ascii="仿宋" w:hAnsi="仿宋" w:eastAsia="仿宋"/>
          <w:sz w:val="24"/>
        </w:rPr>
        <w:t>设有定点技术人员和固定办公场所</w:t>
      </w:r>
      <w:r>
        <w:rPr>
          <w:rFonts w:hint="eastAsia" w:ascii="仿宋" w:hAnsi="仿宋" w:eastAsia="仿宋"/>
          <w:sz w:val="24"/>
          <w:lang w:eastAsia="zh-CN"/>
        </w:rPr>
        <w:t>。</w:t>
      </w:r>
    </w:p>
    <w:p>
      <w:pPr>
        <w:pStyle w:val="3"/>
        <w:spacing w:beforeAutospacing="0" w:afterAutospacing="0" w:line="400" w:lineRule="exact"/>
        <w:ind w:firstLine="480"/>
        <w:rPr>
          <w:rFonts w:ascii="仿宋" w:hAnsi="仿宋" w:eastAsia="仿宋"/>
          <w:sz w:val="24"/>
        </w:rPr>
      </w:pPr>
      <w:r>
        <w:rPr>
          <w:rFonts w:hint="eastAsia" w:ascii="仿宋" w:hAnsi="仿宋" w:eastAsia="仿宋"/>
          <w:sz w:val="24"/>
        </w:rPr>
        <w:t>5.5服务关系终止时，污水在线监测站所有设施设备必须完好，并且每台设备必须达到正常运行，如未达标，则由供应商修复达标后交由采购人验收或按该设施设备的最初采购价赔偿给采购人。</w:t>
      </w:r>
    </w:p>
    <w:p>
      <w:pPr>
        <w:pStyle w:val="3"/>
        <w:spacing w:beforeAutospacing="0" w:afterAutospacing="0" w:line="400" w:lineRule="exact"/>
        <w:ind w:firstLine="480"/>
        <w:rPr>
          <w:rFonts w:ascii="仿宋" w:hAnsi="仿宋" w:eastAsia="仿宋"/>
          <w:sz w:val="24"/>
        </w:rPr>
      </w:pPr>
    </w:p>
    <w:p>
      <w:bookmarkStart w:id="0" w:name="_Toc526857987"/>
      <w:bookmarkEnd w:id="0"/>
      <w:bookmarkStart w:id="1" w:name="_Toc71193895"/>
      <w:bookmarkEnd w:id="1"/>
      <w:r>
        <w:rPr>
          <w:rFonts w:ascii="仿宋" w:hAnsi="仿宋" w:eastAsia="仿宋"/>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NzJiMGUxNzFmZjZlYWQzY2U3MTkwZmVmZmQwMWQifQ=="/>
  </w:docVars>
  <w:rsids>
    <w:rsidRoot w:val="5B815090"/>
    <w:rsid w:val="1C6C486C"/>
    <w:rsid w:val="1E5A1D5F"/>
    <w:rsid w:val="5B81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Autospacing="0" w:after="260" w:afterAutospacing="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beforeAutospacing="0" w:after="120" w:afterAutospacing="0"/>
    </w:pPr>
  </w:style>
  <w:style w:type="paragraph" w:styleId="5">
    <w:name w:val="Title"/>
    <w:basedOn w:val="1"/>
    <w:qFormat/>
    <w:uiPriority w:val="10"/>
    <w:pPr>
      <w:spacing w:before="240" w:beforeAutospacing="0" w:after="60" w:afterAutospacing="0"/>
      <w:jc w:val="center"/>
      <w:outlineLvl w:val="0"/>
    </w:pPr>
    <w:rPr>
      <w:rFonts w:asciiTheme="majorHAnsi" w:hAnsiTheme="majorHAnsi" w:cstheme="majorBidi"/>
      <w:b/>
      <w:bCs/>
      <w:sz w:val="32"/>
      <w:szCs w:val="3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
    <w:basedOn w:val="1"/>
    <w:qFormat/>
    <w:uiPriority w:val="0"/>
    <w:pPr>
      <w:spacing w:beforeAutospacing="0" w:afterAutospacing="0" w:line="400" w:lineRule="exact"/>
    </w:pPr>
    <w:rPr>
      <w:sz w:val="24"/>
    </w:rPr>
  </w:style>
  <w:style w:type="character" w:customStyle="1" w:styleId="10">
    <w:name w:val="NormalCharacter"/>
    <w:qFormat/>
    <w:uiPriority w:val="0"/>
    <w:rPr>
      <w:rFonts w:ascii="Times New Roman" w:hAnsi="Times New Roman" w:eastAsia="仿宋" w:cstheme="minorBidi"/>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3149</Words>
  <Characters>3404</Characters>
  <Lines>0</Lines>
  <Paragraphs>0</Paragraphs>
  <TotalTime>3</TotalTime>
  <ScaleCrop>false</ScaleCrop>
  <LinksUpToDate>false</LinksUpToDate>
  <CharactersWithSpaces>3440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2023-03-24T02:47:00Z</dcterms:created>
  <dc:creator>admin</dc:creator>
  <cp:lastModifiedBy>admin</cp:lastModifiedBy>
  <dcterms:modified xsi:type="dcterms:W3CDTF">2023-03-24T07:28:48Z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1A88477F32314BEE8A637CAB9CBB808B</vt:lpwstr>
  </property>
</Properties>
</file>